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C1B7" w14:textId="77777777" w:rsidR="00AF0A3E" w:rsidRPr="00B5339A" w:rsidRDefault="00AF0A3E" w:rsidP="00AF0A3E">
      <w:pPr>
        <w:tabs>
          <w:tab w:val="left" w:pos="708"/>
        </w:tabs>
        <w:spacing w:line="240" w:lineRule="exact"/>
        <w:jc w:val="both"/>
        <w:rPr>
          <w:bCs/>
        </w:rPr>
      </w:pPr>
    </w:p>
    <w:p w14:paraId="2DFB4FEA" w14:textId="77777777" w:rsidR="00AF0A3E" w:rsidRPr="000A437E" w:rsidRDefault="00AF0A3E" w:rsidP="00AF0A3E">
      <w:pPr>
        <w:shd w:val="clear" w:color="auto" w:fill="FFFFFF"/>
        <w:ind w:right="-26"/>
        <w:jc w:val="center"/>
        <w:outlineLvl w:val="0"/>
        <w:rPr>
          <w:bCs/>
          <w:u w:val="single"/>
        </w:rPr>
      </w:pPr>
      <w:r w:rsidRPr="000A437E">
        <w:rPr>
          <w:bCs/>
          <w:u w:val="single"/>
        </w:rPr>
        <w:t>ТЕХНИЧЕСКОЕ ЗАДАНИЕ</w:t>
      </w:r>
    </w:p>
    <w:p w14:paraId="1D3593F5" w14:textId="77777777" w:rsidR="00AF0A3E" w:rsidRPr="00057C41" w:rsidRDefault="00AF0A3E" w:rsidP="00AF0A3E">
      <w:pPr>
        <w:shd w:val="clear" w:color="auto" w:fill="FFFFFF"/>
        <w:ind w:right="-26"/>
        <w:jc w:val="center"/>
        <w:outlineLvl w:val="0"/>
        <w:rPr>
          <w:u w:val="single"/>
        </w:rPr>
      </w:pPr>
    </w:p>
    <w:p w14:paraId="2B79F094" w14:textId="77777777" w:rsidR="00AF0A3E" w:rsidRPr="003040DB" w:rsidRDefault="00AF0A3E" w:rsidP="00AF0A3E">
      <w:pPr>
        <w:shd w:val="clear" w:color="auto" w:fill="FFFFFF"/>
        <w:tabs>
          <w:tab w:val="left" w:pos="0"/>
        </w:tabs>
        <w:jc w:val="center"/>
        <w:rPr>
          <w:u w:val="single"/>
        </w:rPr>
      </w:pPr>
      <w:r w:rsidRPr="003040DB">
        <w:rPr>
          <w:u w:val="single"/>
        </w:rPr>
        <w:t>На закупку турбомолекулярного насоса модели STPA1303CV, фланец ISO200F, с нагревателем</w:t>
      </w:r>
    </w:p>
    <w:p w14:paraId="000F17B0" w14:textId="77777777" w:rsidR="00AF0A3E" w:rsidRPr="003040DB" w:rsidRDefault="00AF0A3E" w:rsidP="00AF0A3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93"/>
        <w:gridCol w:w="2248"/>
        <w:gridCol w:w="6304"/>
      </w:tblGrid>
      <w:tr w:rsidR="00AF0A3E" w:rsidRPr="003040DB" w14:paraId="0F64D684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C7E12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spacing w:line="384" w:lineRule="exact"/>
              <w:ind w:right="24"/>
              <w:jc w:val="center"/>
              <w:rPr>
                <w:b/>
              </w:rPr>
            </w:pPr>
            <w:r w:rsidRPr="003040DB">
              <w:rPr>
                <w:b/>
              </w:rPr>
              <w:t>№ поз.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6F27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spacing w:line="269" w:lineRule="exact"/>
              <w:jc w:val="center"/>
              <w:rPr>
                <w:b/>
              </w:rPr>
            </w:pPr>
            <w:r w:rsidRPr="003040DB">
              <w:rPr>
                <w:b/>
                <w:spacing w:val="-9"/>
              </w:rPr>
              <w:t>Наименование разделов тех</w:t>
            </w:r>
            <w:r w:rsidRPr="003040DB">
              <w:rPr>
                <w:b/>
              </w:rPr>
              <w:t>нического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E00E3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ind w:left="179"/>
              <w:jc w:val="center"/>
              <w:rPr>
                <w:b/>
              </w:rPr>
            </w:pPr>
            <w:r w:rsidRPr="003040DB">
              <w:rPr>
                <w:b/>
              </w:rPr>
              <w:t>Требуемые показатели</w:t>
            </w:r>
            <w:r w:rsidRPr="003040DB">
              <w:rPr>
                <w:b/>
              </w:rPr>
              <w:br/>
              <w:t>и условия поставки</w:t>
            </w:r>
          </w:p>
        </w:tc>
      </w:tr>
      <w:tr w:rsidR="00AF0A3E" w:rsidRPr="003040DB" w14:paraId="79BDA97C" w14:textId="77777777" w:rsidTr="00CB6699">
        <w:trPr>
          <w:cantSplit/>
          <w:trHeight w:val="34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3576" w14:textId="77777777" w:rsidR="00AF0A3E" w:rsidRPr="003040DB" w:rsidRDefault="00AF0A3E" w:rsidP="00AF0A3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pacing w:val="-9"/>
              </w:rPr>
            </w:pPr>
            <w:r w:rsidRPr="003040DB">
              <w:rPr>
                <w:b/>
                <w:spacing w:val="-9"/>
              </w:rPr>
              <w:t>Общие сведения о предмете технического задания</w:t>
            </w:r>
          </w:p>
        </w:tc>
      </w:tr>
      <w:tr w:rsidR="00AF0A3E" w:rsidRPr="003040DB" w14:paraId="4766EDAB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BEE08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7B000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rPr>
                <w:u w:val="single"/>
              </w:rPr>
            </w:pPr>
            <w:r w:rsidRPr="003040DB">
              <w:rPr>
                <w:u w:val="single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7DD06" w14:textId="77777777" w:rsidR="00AF0A3E" w:rsidRPr="003040DB" w:rsidRDefault="00AF0A3E" w:rsidP="00CB6699">
            <w:pPr>
              <w:jc w:val="both"/>
            </w:pPr>
            <w:r w:rsidRPr="003040DB">
              <w:t xml:space="preserve">Турбомолекулярный насос модели </w:t>
            </w:r>
            <w:r w:rsidRPr="003040DB">
              <w:rPr>
                <w:lang w:val="en-US"/>
              </w:rPr>
              <w:t>STPA</w:t>
            </w:r>
            <w:r w:rsidRPr="003040DB">
              <w:t>1303</w:t>
            </w:r>
            <w:r w:rsidRPr="003040DB">
              <w:rPr>
                <w:lang w:val="en-US"/>
              </w:rPr>
              <w:t>CV</w:t>
            </w:r>
            <w:r w:rsidRPr="003040DB">
              <w:t xml:space="preserve">, фланец </w:t>
            </w:r>
            <w:r w:rsidRPr="003040DB">
              <w:rPr>
                <w:lang w:val="en-US"/>
              </w:rPr>
              <w:t>ISO</w:t>
            </w:r>
            <w:r w:rsidRPr="003040DB">
              <w:t>200</w:t>
            </w:r>
            <w:r w:rsidRPr="003040DB">
              <w:rPr>
                <w:lang w:val="en-US"/>
              </w:rPr>
              <w:t>F</w:t>
            </w:r>
            <w:r w:rsidRPr="003040DB">
              <w:t>, с нагревателем</w:t>
            </w:r>
          </w:p>
        </w:tc>
      </w:tr>
      <w:tr w:rsidR="00AF0A3E" w:rsidRPr="003040DB" w14:paraId="07E09D1A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8A5B1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958B6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rPr>
                <w:spacing w:val="-2"/>
                <w:u w:val="single"/>
              </w:rPr>
            </w:pPr>
            <w:r w:rsidRPr="003040DB">
              <w:rPr>
                <w:spacing w:val="-2"/>
                <w:u w:val="single"/>
              </w:rPr>
              <w:t>Производитель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F6B0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  <w:rPr>
                <w:lang w:val="en-US"/>
              </w:rPr>
            </w:pPr>
            <w:r w:rsidRPr="003040DB">
              <w:rPr>
                <w:lang w:val="en-US"/>
              </w:rPr>
              <w:t>Edwards</w:t>
            </w:r>
          </w:p>
        </w:tc>
      </w:tr>
      <w:tr w:rsidR="00AF0A3E" w:rsidRPr="003040DB" w14:paraId="46BD045C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95C8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lang w:val="en-US"/>
              </w:rPr>
            </w:pPr>
            <w:r w:rsidRPr="003040DB">
              <w:rPr>
                <w:lang w:val="en-US"/>
              </w:rPr>
              <w:br w:type="column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015C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rPr>
                <w:u w:val="single"/>
              </w:rPr>
            </w:pPr>
            <w:r w:rsidRPr="003040DB">
              <w:rPr>
                <w:spacing w:val="-2"/>
                <w:u w:val="single"/>
              </w:rPr>
              <w:t>Модель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E8E2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lang w:val="en-US"/>
              </w:rPr>
            </w:pPr>
            <w:r w:rsidRPr="003040DB">
              <w:rPr>
                <w:lang w:val="en-US"/>
              </w:rPr>
              <w:t>STPA</w:t>
            </w:r>
            <w:r w:rsidRPr="003040DB">
              <w:t>1303</w:t>
            </w:r>
            <w:r w:rsidRPr="003040DB">
              <w:rPr>
                <w:lang w:val="en-US"/>
              </w:rPr>
              <w:t>CV</w:t>
            </w:r>
          </w:p>
        </w:tc>
      </w:tr>
      <w:tr w:rsidR="00AF0A3E" w:rsidRPr="003040DB" w14:paraId="014CDC4D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D2A97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D5A4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rPr>
                <w:u w:val="single"/>
              </w:rPr>
            </w:pPr>
            <w:r w:rsidRPr="003040DB">
              <w:rPr>
                <w:u w:val="single"/>
              </w:rPr>
              <w:t>Назначение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BFF45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</w:pPr>
            <w:r w:rsidRPr="003040DB">
              <w:t>Создание высокого вакуума в ЭО ТК ВСКК</w:t>
            </w:r>
          </w:p>
        </w:tc>
      </w:tr>
      <w:tr w:rsidR="00AF0A3E" w:rsidRPr="003040DB" w14:paraId="326B6C76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2E77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89C8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rPr>
                <w:u w:val="single"/>
              </w:rPr>
            </w:pPr>
            <w:r w:rsidRPr="003040DB">
              <w:rPr>
                <w:u w:val="single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C174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</w:pPr>
            <w:r w:rsidRPr="003040DB">
              <w:rPr>
                <w:spacing w:val="-2"/>
              </w:rPr>
              <w:t>1 шт.</w:t>
            </w:r>
          </w:p>
        </w:tc>
      </w:tr>
      <w:tr w:rsidR="00AF0A3E" w:rsidRPr="003040DB" w14:paraId="1D8B9D0E" w14:textId="77777777" w:rsidTr="00CB66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C53B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4484" w14:textId="77777777" w:rsidR="00AF0A3E" w:rsidRPr="00FF1792" w:rsidRDefault="00AF0A3E" w:rsidP="00CB6699">
            <w:pPr>
              <w:shd w:val="clear" w:color="auto" w:fill="FFFFFF"/>
              <w:tabs>
                <w:tab w:val="left" w:pos="0"/>
              </w:tabs>
              <w:rPr>
                <w:u w:val="single"/>
                <w:lang w:val="en-US"/>
              </w:rPr>
            </w:pPr>
            <w:r>
              <w:rPr>
                <w:u w:val="single"/>
              </w:rPr>
              <w:t>Эквивалент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8539" w14:textId="5FE470A4" w:rsidR="00AF0A3E" w:rsidRPr="00922AAF" w:rsidRDefault="00AF0A3E" w:rsidP="00CB6699">
            <w:pPr>
              <w:jc w:val="both"/>
            </w:pPr>
            <w:r w:rsidRPr="00BA551C">
              <w:rPr>
                <w:i/>
                <w:color w:val="000000"/>
                <w:lang w:bidi="ru-RU"/>
              </w:rPr>
              <w:t>Эквивалент товара не допускаетс</w:t>
            </w:r>
            <w:r>
              <w:rPr>
                <w:i/>
                <w:color w:val="000000"/>
                <w:lang w:bidi="ru-RU"/>
              </w:rPr>
              <w:t xml:space="preserve">я </w:t>
            </w:r>
          </w:p>
          <w:p w14:paraId="5AFFAC8E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  <w:rPr>
                <w:spacing w:val="-2"/>
              </w:rPr>
            </w:pPr>
          </w:p>
        </w:tc>
      </w:tr>
      <w:tr w:rsidR="00AF0A3E" w:rsidRPr="003040DB" w14:paraId="099F8F02" w14:textId="77777777" w:rsidTr="00CB6699">
        <w:trPr>
          <w:cantSplit/>
          <w:trHeight w:val="33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4D0EB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</w:rPr>
            </w:pPr>
            <w:r w:rsidRPr="003040DB">
              <w:rPr>
                <w:b/>
              </w:rPr>
              <w:t>2. Состав Товара</w:t>
            </w:r>
          </w:p>
        </w:tc>
      </w:tr>
      <w:tr w:rsidR="00AF0A3E" w:rsidRPr="003040DB" w14:paraId="3C97371E" w14:textId="77777777" w:rsidTr="00CB6699">
        <w:trPr>
          <w:cantSplit/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DE5B7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27AD7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</w:pPr>
            <w:r w:rsidRPr="003040DB">
              <w:rPr>
                <w:bCs/>
                <w:kern w:val="36"/>
              </w:rPr>
              <w:t>Наименование</w:t>
            </w:r>
            <w:hyperlink r:id="rId5" w:tooltip="КВЦ-120 к.т. 0,5% - киловольтметр спектральный цифровой" w:history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F7063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</w:pPr>
            <w:r w:rsidRPr="003040DB">
              <w:rPr>
                <w:bCs/>
                <w:kern w:val="36"/>
              </w:rPr>
              <w:t>2.1.1 Турбомолекулярный насос модели STPA1303CV, фланец ISO200F, с нагревателем - 1 шт.</w:t>
            </w:r>
          </w:p>
        </w:tc>
      </w:tr>
      <w:tr w:rsidR="00AF0A3E" w:rsidRPr="003040DB" w14:paraId="5F7D92F2" w14:textId="77777777" w:rsidTr="00CB6699">
        <w:trPr>
          <w:cantSplit/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A59BD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contextualSpacing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57FD" w14:textId="77777777" w:rsidR="00AF0A3E" w:rsidRPr="003040DB" w:rsidRDefault="00AF0A3E" w:rsidP="00CB6699">
            <w:pPr>
              <w:tabs>
                <w:tab w:val="left" w:pos="0"/>
              </w:tabs>
            </w:pPr>
            <w:r w:rsidRPr="003040DB">
              <w:t xml:space="preserve">Комплект </w:t>
            </w:r>
            <w:r w:rsidRPr="003040DB">
              <w:rPr>
                <w:spacing w:val="6"/>
              </w:rPr>
              <w:t>технической</w:t>
            </w:r>
            <w:r w:rsidRPr="003040DB">
              <w:t xml:space="preserve">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964D1" w14:textId="77777777" w:rsidR="00AF0A3E" w:rsidRPr="003040DB" w:rsidRDefault="00AF0A3E" w:rsidP="00CB6699">
            <w:pPr>
              <w:jc w:val="both"/>
            </w:pPr>
            <w:r w:rsidRPr="003040DB">
              <w:rPr>
                <w:bCs/>
                <w:kern w:val="36"/>
              </w:rPr>
              <w:t>2.2.1 Техническая документация на турбомолекулярный насос модели STPA1303CV, фланец ISO200F, с нагревателем</w:t>
            </w:r>
          </w:p>
        </w:tc>
      </w:tr>
      <w:tr w:rsidR="00AF0A3E" w:rsidRPr="003040DB" w14:paraId="645A55A5" w14:textId="77777777" w:rsidTr="00CB6699">
        <w:trPr>
          <w:cantSplit/>
          <w:trHeight w:val="36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B32D7" w14:textId="77777777" w:rsidR="00AF0A3E" w:rsidRPr="003040DB" w:rsidRDefault="00AF0A3E" w:rsidP="00CB6699">
            <w:pPr>
              <w:shd w:val="clear" w:color="auto" w:fill="FFFFFF"/>
              <w:tabs>
                <w:tab w:val="left" w:pos="0"/>
              </w:tabs>
              <w:jc w:val="both"/>
              <w:rPr>
                <w:rFonts w:eastAsia="TimesNewRoman"/>
                <w:b/>
              </w:rPr>
            </w:pPr>
            <w:r w:rsidRPr="003040DB">
              <w:rPr>
                <w:b/>
              </w:rPr>
              <w:t>3. Т</w:t>
            </w:r>
            <w:r w:rsidRPr="003040DB">
              <w:rPr>
                <w:rFonts w:eastAsia="TimesNewRoman"/>
                <w:b/>
              </w:rPr>
              <w:t>ехнические характеристики и требования к оборудованию</w:t>
            </w:r>
          </w:p>
        </w:tc>
      </w:tr>
      <w:tr w:rsidR="00AF0A3E" w:rsidRPr="003040DB" w14:paraId="6089CCE4" w14:textId="77777777" w:rsidTr="00CB6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860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81E" w14:textId="77777777" w:rsidR="00AF0A3E" w:rsidRPr="003040DB" w:rsidRDefault="00AF0A3E" w:rsidP="00CB6699">
            <w:pPr>
              <w:tabs>
                <w:tab w:val="left" w:pos="955"/>
              </w:tabs>
              <w:rPr>
                <w:u w:val="single"/>
              </w:rPr>
            </w:pPr>
            <w:r w:rsidRPr="003040DB">
              <w:rPr>
                <w:u w:val="single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0CE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Входной фланец</w:t>
            </w:r>
          </w:p>
          <w:p w14:paraId="6B7C8D0E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ISO200F</w:t>
            </w:r>
          </w:p>
          <w:p w14:paraId="243C3358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Выходной фланец</w:t>
            </w:r>
          </w:p>
          <w:p w14:paraId="348A881E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KF40</w:t>
            </w:r>
          </w:p>
          <w:p w14:paraId="4194B5E0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Порт продувки</w:t>
            </w:r>
          </w:p>
          <w:p w14:paraId="01121717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KF10</w:t>
            </w:r>
          </w:p>
          <w:p w14:paraId="2E0C7020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Разъёмы для подключения водяного охлаждения</w:t>
            </w:r>
          </w:p>
          <w:p w14:paraId="2E3639E5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PT 1/4</w:t>
            </w:r>
          </w:p>
          <w:p w14:paraId="7157C2FE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Скорость откачки</w:t>
            </w:r>
          </w:p>
          <w:p w14:paraId="4EE086B1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N2 1300 л/с</w:t>
            </w:r>
          </w:p>
          <w:p w14:paraId="169C12A3" w14:textId="77777777" w:rsidR="00AF0A3E" w:rsidRPr="007E5831" w:rsidRDefault="00AF0A3E" w:rsidP="00CB6699">
            <w:pPr>
              <w:rPr>
                <w:bCs/>
                <w:kern w:val="36"/>
              </w:rPr>
            </w:pPr>
          </w:p>
          <w:p w14:paraId="7C83C4FD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H2 800 л/с</w:t>
            </w:r>
          </w:p>
          <w:p w14:paraId="66290C94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Охлаждение водяное контролируемое системой</w:t>
            </w:r>
          </w:p>
          <w:p w14:paraId="4FD46E8B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  <w:lang w:val="en-US"/>
              </w:rPr>
              <w:t>TMS</w:t>
            </w:r>
            <w:r w:rsidRPr="007E5831">
              <w:rPr>
                <w:bCs/>
                <w:kern w:val="36"/>
              </w:rPr>
              <w:t xml:space="preserve"> (Система управления температурой):</w:t>
            </w:r>
          </w:p>
          <w:p w14:paraId="23A1B01A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 xml:space="preserve">3.1.1 Настройка температуры </w:t>
            </w:r>
            <w:r w:rsidRPr="007E5831">
              <w:rPr>
                <w:bCs/>
                <w:kern w:val="36"/>
                <w:lang w:val="en-US"/>
              </w:rPr>
              <w:t>TMS</w:t>
            </w:r>
          </w:p>
          <w:p w14:paraId="0CED949D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60 °С</w:t>
            </w:r>
          </w:p>
          <w:p w14:paraId="116B033C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Предельное остаточное давление (после прогрева)    10</w:t>
            </w:r>
            <w:r w:rsidRPr="007E5831">
              <w:rPr>
                <w:bCs/>
                <w:kern w:val="36"/>
                <w:vertAlign w:val="superscript"/>
              </w:rPr>
              <w:t>-7</w:t>
            </w:r>
            <w:r w:rsidRPr="007E5831">
              <w:rPr>
                <w:bCs/>
                <w:kern w:val="36"/>
              </w:rPr>
              <w:t xml:space="preserve"> Па (10</w:t>
            </w:r>
            <w:r w:rsidRPr="007E5831">
              <w:rPr>
                <w:bCs/>
                <w:kern w:val="36"/>
                <w:vertAlign w:val="superscript"/>
              </w:rPr>
              <w:t>-9</w:t>
            </w:r>
            <w:r w:rsidRPr="007E5831">
              <w:rPr>
                <w:bCs/>
                <w:kern w:val="36"/>
              </w:rPr>
              <w:t xml:space="preserve"> Торр)</w:t>
            </w:r>
          </w:p>
          <w:p w14:paraId="5167D11D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Выход на режим                                                             7 мин</w:t>
            </w:r>
          </w:p>
          <w:p w14:paraId="16CE27D8" w14:textId="77777777" w:rsidR="00AF0A3E" w:rsidRPr="007E5831" w:rsidRDefault="00AF0A3E" w:rsidP="00CB6699">
            <w:pPr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Максимальная температура входного фланца            120 °С</w:t>
            </w:r>
          </w:p>
          <w:p w14:paraId="7DDB48EE" w14:textId="77777777" w:rsidR="00AF0A3E" w:rsidRPr="003040DB" w:rsidRDefault="00AF0A3E" w:rsidP="00CB6699">
            <w:pPr>
              <w:tabs>
                <w:tab w:val="left" w:pos="6373"/>
              </w:tabs>
              <w:jc w:val="both"/>
              <w:rPr>
                <w:bCs/>
                <w:kern w:val="36"/>
              </w:rPr>
            </w:pPr>
            <w:r w:rsidRPr="007E5831">
              <w:rPr>
                <w:bCs/>
                <w:kern w:val="36"/>
              </w:rPr>
              <w:t>3.1.1 Мощность двигателя                                                      0,85 кВт</w:t>
            </w:r>
            <w:r w:rsidRPr="003040DB">
              <w:rPr>
                <w:bCs/>
                <w:kern w:val="36"/>
              </w:rPr>
              <w:t xml:space="preserve"> </w:t>
            </w:r>
          </w:p>
        </w:tc>
      </w:tr>
      <w:tr w:rsidR="00AF0A3E" w:rsidRPr="003040DB" w14:paraId="16507BF3" w14:textId="77777777" w:rsidTr="00CB6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F8A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C83" w14:textId="77777777" w:rsidR="00AF0A3E" w:rsidRPr="003040DB" w:rsidRDefault="00AF0A3E" w:rsidP="00CB6699">
            <w:pPr>
              <w:tabs>
                <w:tab w:val="left" w:pos="955"/>
              </w:tabs>
              <w:rPr>
                <w:u w:val="single"/>
              </w:rPr>
            </w:pPr>
            <w:r w:rsidRPr="003040DB">
              <w:rPr>
                <w:u w:val="single"/>
              </w:rPr>
              <w:t>Требования к оборудованию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D16" w14:textId="77777777" w:rsidR="00AF0A3E" w:rsidRPr="00575823" w:rsidRDefault="00AF0A3E" w:rsidP="00CB6699">
            <w:pPr>
              <w:jc w:val="both"/>
            </w:pPr>
            <w:r w:rsidRPr="00575823">
              <w:t>3.2.1 Турбомолекулярный на</w:t>
            </w:r>
            <w:r w:rsidRPr="00575823">
              <w:rPr>
                <w:lang w:val="en-US"/>
              </w:rPr>
              <w:t>c</w:t>
            </w:r>
            <w:r w:rsidRPr="00575823">
              <w:t xml:space="preserve">ос должен быть полностью совместим с контроллером </w:t>
            </w:r>
            <w:r w:rsidRPr="00575823">
              <w:rPr>
                <w:lang w:val="en-US"/>
              </w:rPr>
              <w:t>Edwards</w:t>
            </w:r>
            <w:r w:rsidRPr="00575823">
              <w:t xml:space="preserve"> </w:t>
            </w:r>
            <w:r w:rsidRPr="00575823">
              <w:rPr>
                <w:lang w:val="en-US"/>
              </w:rPr>
              <w:t>SCU</w:t>
            </w:r>
            <w:r w:rsidRPr="00575823">
              <w:t>-800.</w:t>
            </w:r>
          </w:p>
          <w:p w14:paraId="07138A7C" w14:textId="77777777" w:rsidR="00AF0A3E" w:rsidRPr="00575823" w:rsidRDefault="00AF0A3E" w:rsidP="00CB6699">
            <w:pPr>
              <w:jc w:val="both"/>
            </w:pPr>
            <w:r w:rsidRPr="00575823">
              <w:t>3.2.2 Турбомолекулярный насос должен быть оснащен следующими системами:</w:t>
            </w:r>
          </w:p>
          <w:p w14:paraId="13B46355" w14:textId="77777777" w:rsidR="00AF0A3E" w:rsidRPr="00575823" w:rsidRDefault="00AF0A3E" w:rsidP="00CB6699">
            <w:pPr>
              <w:jc w:val="both"/>
            </w:pPr>
            <w:r w:rsidRPr="00575823">
              <w:t>- система автоматического отключения насоса при резком увеличении давления («прорыве атмосферы»);</w:t>
            </w:r>
          </w:p>
          <w:p w14:paraId="0A5374C5" w14:textId="77777777" w:rsidR="00AF0A3E" w:rsidRPr="00575823" w:rsidRDefault="00AF0A3E" w:rsidP="00CB6699">
            <w:pPr>
              <w:jc w:val="both"/>
            </w:pPr>
            <w:r w:rsidRPr="00575823">
              <w:t>- система регулирования скорости вращения ротора в зависимости от создаваемого давления;</w:t>
            </w:r>
          </w:p>
          <w:p w14:paraId="3EB36895" w14:textId="77777777" w:rsidR="00AF0A3E" w:rsidRPr="00575823" w:rsidRDefault="00AF0A3E" w:rsidP="00CB6699">
            <w:pPr>
              <w:jc w:val="both"/>
            </w:pPr>
            <w:r w:rsidRPr="00575823">
              <w:t>- система энергосбережения при работе на номинальном режиме;</w:t>
            </w:r>
          </w:p>
          <w:p w14:paraId="03BFECC1" w14:textId="77777777" w:rsidR="00AF0A3E" w:rsidRPr="00575823" w:rsidRDefault="00AF0A3E" w:rsidP="00CB6699">
            <w:pPr>
              <w:jc w:val="both"/>
            </w:pPr>
            <w:r w:rsidRPr="00575823">
              <w:t>- система безопасной остановки насоса в случае аварийного отключения питания.</w:t>
            </w:r>
          </w:p>
          <w:p w14:paraId="74EA6CAB" w14:textId="77777777" w:rsidR="00AF0A3E" w:rsidRPr="00575823" w:rsidRDefault="00AF0A3E" w:rsidP="00CB6699">
            <w:pPr>
              <w:jc w:val="both"/>
            </w:pPr>
            <w:r w:rsidRPr="00575823">
              <w:t>- система контроля величины тока электродвигателя</w:t>
            </w:r>
          </w:p>
          <w:p w14:paraId="6057E40A" w14:textId="77777777" w:rsidR="00AF0A3E" w:rsidRPr="00575823" w:rsidRDefault="00AF0A3E" w:rsidP="00CB6699">
            <w:pPr>
              <w:jc w:val="both"/>
            </w:pPr>
            <w:r w:rsidRPr="00575823">
              <w:t>- система контроля температуры электродвигателя</w:t>
            </w:r>
          </w:p>
          <w:p w14:paraId="26D440A8" w14:textId="77777777" w:rsidR="00AF0A3E" w:rsidRPr="00575823" w:rsidRDefault="00AF0A3E" w:rsidP="00CB6699">
            <w:pPr>
              <w:jc w:val="both"/>
            </w:pPr>
            <w:r w:rsidRPr="00575823">
              <w:t xml:space="preserve">- система продувки </w:t>
            </w:r>
          </w:p>
          <w:p w14:paraId="37C12B86" w14:textId="77777777" w:rsidR="00AF0A3E" w:rsidRPr="00575823" w:rsidRDefault="00AF0A3E" w:rsidP="00CB6699">
            <w:pPr>
              <w:jc w:val="both"/>
            </w:pPr>
            <w:r w:rsidRPr="00575823">
              <w:t>- система вентиляции</w:t>
            </w:r>
          </w:p>
          <w:p w14:paraId="08AF79E4" w14:textId="77777777" w:rsidR="00AF0A3E" w:rsidRPr="00575823" w:rsidRDefault="00AF0A3E" w:rsidP="00CB6699">
            <w:pPr>
              <w:jc w:val="both"/>
            </w:pPr>
            <w:r w:rsidRPr="00575823">
              <w:t>- система стабилизации положения ротора</w:t>
            </w:r>
          </w:p>
          <w:p w14:paraId="4EE3DADF" w14:textId="77777777" w:rsidR="00AF0A3E" w:rsidRPr="003040DB" w:rsidRDefault="00AF0A3E" w:rsidP="00CB6699">
            <w:pPr>
              <w:jc w:val="both"/>
            </w:pPr>
            <w:r w:rsidRPr="00575823">
              <w:t>3.2.4 Турбомолекулярный насос должен выдерживать неоднократные резкие изменения давления («прорывы атмосферы»)</w:t>
            </w:r>
          </w:p>
        </w:tc>
      </w:tr>
      <w:tr w:rsidR="00AF0A3E" w:rsidRPr="003040DB" w14:paraId="7C1AF09A" w14:textId="77777777" w:rsidTr="00CB6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5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213" w14:textId="77777777" w:rsidR="00AF0A3E" w:rsidRPr="003040DB" w:rsidRDefault="00AF0A3E" w:rsidP="00CB6699">
            <w:pPr>
              <w:tabs>
                <w:tab w:val="left" w:pos="-466"/>
              </w:tabs>
              <w:jc w:val="both"/>
              <w:rPr>
                <w:b/>
                <w:bCs/>
              </w:rPr>
            </w:pPr>
            <w:r w:rsidRPr="003040DB">
              <w:rPr>
                <w:b/>
                <w:bCs/>
              </w:rPr>
              <w:t>4. Дополнительные требования, сроки и условия поставки</w:t>
            </w:r>
          </w:p>
        </w:tc>
      </w:tr>
      <w:tr w:rsidR="00AF0A3E" w:rsidRPr="003040DB" w14:paraId="4E23B42A" w14:textId="77777777" w:rsidTr="00CB6699">
        <w:trPr>
          <w:cantSplit/>
          <w:trHeight w:val="17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2BA6" w14:textId="77777777" w:rsidR="00AF0A3E" w:rsidRPr="003040DB" w:rsidRDefault="00AF0A3E" w:rsidP="00AF0A3E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-466"/>
              </w:tabs>
              <w:autoSpaceDE w:val="0"/>
              <w:autoSpaceDN w:val="0"/>
              <w:adjustRightInd w:val="0"/>
              <w:ind w:left="0" w:firstLine="0"/>
              <w:contextualSpacing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041C4" w14:textId="77777777" w:rsidR="00AF0A3E" w:rsidRPr="003040DB" w:rsidRDefault="00AF0A3E" w:rsidP="00CB6699">
            <w:pPr>
              <w:tabs>
                <w:tab w:val="left" w:pos="-466"/>
                <w:tab w:val="left" w:pos="178"/>
              </w:tabs>
              <w:rPr>
                <w:u w:val="single"/>
              </w:rPr>
            </w:pPr>
            <w:r>
              <w:rPr>
                <w:u w:val="single"/>
              </w:rPr>
              <w:t>Охрана труда при выполнении работ</w:t>
            </w:r>
          </w:p>
          <w:p w14:paraId="7A77DA76" w14:textId="77777777" w:rsidR="00AF0A3E" w:rsidRPr="003040DB" w:rsidRDefault="00AF0A3E" w:rsidP="00CB6699">
            <w:pPr>
              <w:tabs>
                <w:tab w:val="left" w:pos="-466"/>
                <w:tab w:val="left" w:pos="178"/>
              </w:tabs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4CE09" w14:textId="77777777" w:rsidR="00AF0A3E" w:rsidRPr="00575823" w:rsidRDefault="00AF0A3E" w:rsidP="00CB6699">
            <w:pPr>
              <w:ind w:right="3"/>
              <w:jc w:val="both"/>
            </w:pPr>
            <w:r w:rsidRPr="00575823">
              <w:t>4.1.1 Поставщик обязан выполнять работы в строгом соответствии с требованиями законодательства РФ в области охраны труда, промышленной и пожарной безопасности.</w:t>
            </w:r>
          </w:p>
          <w:p w14:paraId="4A612222" w14:textId="77777777" w:rsidR="00AF0A3E" w:rsidRPr="00575823" w:rsidRDefault="00AF0A3E" w:rsidP="00CB6699">
            <w:pPr>
              <w:ind w:right="3"/>
              <w:jc w:val="both"/>
            </w:pPr>
            <w:r w:rsidRPr="00575823">
              <w:t>4.1.2. Заказчик обязан:</w:t>
            </w:r>
          </w:p>
          <w:p w14:paraId="0B675DA7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проинформировать работников об опасностях на объекте Заказчика и мерах по их предупреждению;</w:t>
            </w:r>
          </w:p>
          <w:p w14:paraId="17808758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провести вводный инструктаж перед началом работы</w:t>
            </w:r>
          </w:p>
          <w:p w14:paraId="38D4ECDF" w14:textId="77777777" w:rsidR="00AF0A3E" w:rsidRPr="00575823" w:rsidRDefault="00AF0A3E" w:rsidP="00CB6699">
            <w:pPr>
              <w:ind w:right="3"/>
              <w:jc w:val="both"/>
            </w:pPr>
            <w:r w:rsidRPr="00575823">
              <w:t>4.1.3. Поставщик обязан:</w:t>
            </w:r>
          </w:p>
          <w:p w14:paraId="5B8FFFCD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-направить для выполнения Работ квалифицированных специалистов, обученных правилам безопасного выполнения работ;</w:t>
            </w:r>
          </w:p>
          <w:p w14:paraId="3E553EAE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обеспечить своих работников необходимыми СИЗ в соответствии с характером выполняемых работ и климатическими условиями. Использование СИЗ обязательно на территории объекта Заказчика.</w:t>
            </w:r>
          </w:p>
          <w:p w14:paraId="67525F91" w14:textId="77777777" w:rsidR="00AF0A3E" w:rsidRPr="00575823" w:rsidRDefault="00AF0A3E" w:rsidP="00CB6699">
            <w:pPr>
              <w:ind w:right="3"/>
              <w:jc w:val="both"/>
            </w:pPr>
            <w:r w:rsidRPr="00575823">
              <w:t>4.1.4. Запрещается допуск к работам в состоянии алкогольного, наркотического или токсического опьянения.</w:t>
            </w:r>
          </w:p>
          <w:p w14:paraId="5E292D05" w14:textId="77777777" w:rsidR="00AF0A3E" w:rsidRPr="00575823" w:rsidRDefault="00AF0A3E" w:rsidP="00CB6699">
            <w:pPr>
              <w:ind w:right="3"/>
              <w:jc w:val="both"/>
            </w:pPr>
            <w:r w:rsidRPr="00575823">
              <w:t>4.1.5. Ответственность за нарушение требований охраны труда</w:t>
            </w:r>
          </w:p>
          <w:p w14:paraId="6CB0EF82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Поставщик несёт полную ответственность за соблюдение требований охраны труда своими работниками.</w:t>
            </w:r>
          </w:p>
          <w:p w14:paraId="5AE12E22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В случае нарушения требований по охране труда, повлекшего за собой аварийную ситуацию, причинение вреда жизни, здоровью людей или имуществу, Поставщик возмещает ущерб в полном объёме и несёт иную ответственность в соответствии с законодательством РФ и условиями настоящего договора.</w:t>
            </w:r>
          </w:p>
          <w:p w14:paraId="0BB3BB60" w14:textId="77777777" w:rsidR="00AF0A3E" w:rsidRPr="00575823" w:rsidRDefault="00AF0A3E" w:rsidP="00CB6699">
            <w:pPr>
              <w:ind w:right="3"/>
              <w:jc w:val="both"/>
            </w:pPr>
            <w:r w:rsidRPr="00575823">
              <w:t>4.1.6. Взаимодействие сторон</w:t>
            </w:r>
          </w:p>
          <w:p w14:paraId="0928105E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Представители Заказчика имеют право в любое время проверять соблюдение Поставщиком требований охраны труда.</w:t>
            </w:r>
          </w:p>
          <w:p w14:paraId="6108AC5B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Заказчик вправе приостановить работы при выявлении нарушений требований охраны труда до их полного устранения без возмещения Поставщику убытков, связанных с простоем.</w:t>
            </w:r>
          </w:p>
          <w:p w14:paraId="24C90078" w14:textId="77777777" w:rsidR="00AF0A3E" w:rsidRPr="00575823" w:rsidRDefault="00AF0A3E" w:rsidP="00CB6699">
            <w:pPr>
              <w:ind w:right="3"/>
              <w:jc w:val="both"/>
            </w:pPr>
            <w:r w:rsidRPr="00575823">
              <w:t>- В случае грубого или неоднократных нарушения Поставщиком требований настоящего раздела Заказчик оставляет за собой право расторгнуть договор в одностороннем порядке.</w:t>
            </w:r>
          </w:p>
        </w:tc>
      </w:tr>
    </w:tbl>
    <w:p w14:paraId="4AC38E6B" w14:textId="77777777" w:rsidR="00AF0A3E" w:rsidRDefault="00AF0A3E" w:rsidP="00AF0A3E">
      <w:pPr>
        <w:jc w:val="both"/>
      </w:pPr>
    </w:p>
    <w:p w14:paraId="345C064F" w14:textId="77777777" w:rsidR="00AF0A3E" w:rsidRPr="003040DB" w:rsidRDefault="00AF0A3E" w:rsidP="00AF0A3E">
      <w:pPr>
        <w:jc w:val="both"/>
        <w:rPr>
          <w:b/>
        </w:rPr>
      </w:pPr>
    </w:p>
    <w:p w14:paraId="496ACB82" w14:textId="77777777" w:rsidR="00AF0A3E" w:rsidRDefault="00AF0A3E" w:rsidP="00AF0A3E">
      <w:pPr>
        <w:jc w:val="both"/>
        <w:rPr>
          <w:b/>
        </w:rPr>
      </w:pPr>
    </w:p>
    <w:p w14:paraId="210E06A8" w14:textId="77777777" w:rsidR="00AF0A3E" w:rsidRDefault="00AF0A3E" w:rsidP="00AF0A3E">
      <w:pPr>
        <w:jc w:val="both"/>
        <w:rPr>
          <w:b/>
        </w:rPr>
      </w:pPr>
    </w:p>
    <w:p w14:paraId="32221900" w14:textId="77777777" w:rsidR="00AF0A3E" w:rsidRDefault="00AF0A3E" w:rsidP="00AF0A3E">
      <w:pPr>
        <w:jc w:val="both"/>
        <w:rPr>
          <w:b/>
        </w:rPr>
      </w:pPr>
    </w:p>
    <w:p w14:paraId="6125D0CB" w14:textId="77777777" w:rsidR="00AF0A3E" w:rsidRDefault="00AF0A3E" w:rsidP="00AF0A3E">
      <w:pPr>
        <w:jc w:val="both"/>
        <w:rPr>
          <w:b/>
        </w:rPr>
      </w:pPr>
    </w:p>
    <w:p w14:paraId="02C7D3A4" w14:textId="77777777" w:rsidR="00AF0A3E" w:rsidRPr="003040DB" w:rsidRDefault="00AF0A3E" w:rsidP="00AF0A3E">
      <w:pPr>
        <w:jc w:val="both"/>
        <w:rPr>
          <w:b/>
        </w:rPr>
      </w:pPr>
    </w:p>
    <w:p w14:paraId="470EF087" w14:textId="77777777" w:rsidR="00AF0A3E" w:rsidRPr="003040DB" w:rsidRDefault="00AF0A3E" w:rsidP="00AF0A3E">
      <w:pPr>
        <w:jc w:val="both"/>
        <w:outlineLvl w:val="0"/>
      </w:pPr>
    </w:p>
    <w:p w14:paraId="232E3C7F" w14:textId="77777777" w:rsidR="007061A2" w:rsidRDefault="007061A2"/>
    <w:sectPr w:rsidR="0070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27735"/>
    <w:multiLevelType w:val="hybridMultilevel"/>
    <w:tmpl w:val="143CAFCC"/>
    <w:lvl w:ilvl="0" w:tplc="6E10DFEC">
      <w:start w:val="1"/>
      <w:numFmt w:val="decimal"/>
      <w:lvlText w:val="4.%1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60F319EC"/>
    <w:multiLevelType w:val="hybridMultilevel"/>
    <w:tmpl w:val="E70A2A94"/>
    <w:lvl w:ilvl="0" w:tplc="2A9AD82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E4604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2135A"/>
    <w:multiLevelType w:val="hybridMultilevel"/>
    <w:tmpl w:val="B5BED200"/>
    <w:lvl w:ilvl="0" w:tplc="D332AF98">
      <w:start w:val="1"/>
      <w:numFmt w:val="decimal"/>
      <w:lvlText w:val="1.%1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5B068F"/>
    <w:multiLevelType w:val="hybridMultilevel"/>
    <w:tmpl w:val="33080820"/>
    <w:lvl w:ilvl="0" w:tplc="E792776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6CDF7187"/>
    <w:multiLevelType w:val="hybridMultilevel"/>
    <w:tmpl w:val="32DEED68"/>
    <w:lvl w:ilvl="0" w:tplc="89CA9B02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7445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259301">
    <w:abstractNumId w:val="3"/>
  </w:num>
  <w:num w:numId="3" w16cid:durableId="1762948242">
    <w:abstractNumId w:val="2"/>
  </w:num>
  <w:num w:numId="4" w16cid:durableId="1484007504">
    <w:abstractNumId w:val="0"/>
  </w:num>
  <w:num w:numId="5" w16cid:durableId="1376269657">
    <w:abstractNumId w:val="5"/>
  </w:num>
  <w:num w:numId="6" w16cid:durableId="1438209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3E"/>
    <w:rsid w:val="007061A2"/>
    <w:rsid w:val="008566DE"/>
    <w:rsid w:val="00A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A0DD"/>
  <w15:chartTrackingRefBased/>
  <w15:docId w15:val="{B108EF69-9778-48FD-A1E9-D8DB0F5F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0A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AF0A3E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"/>
    <w:basedOn w:val="a0"/>
    <w:next w:val="a0"/>
    <w:link w:val="20"/>
    <w:qFormat/>
    <w:rsid w:val="00AF0A3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AF0A3E"/>
    <w:rPr>
      <w:rFonts w:ascii="Times New Roman" w:eastAsia="Times New Roman" w:hAnsi="Times New Roman" w:cs="Times New Roman"/>
      <w:iCs/>
      <w:kern w:val="0"/>
      <w:sz w:val="24"/>
      <w:szCs w:val="24"/>
      <w:lang w:val="ru-RU" w:eastAsia="ru-RU" w:bidi="ar-SA"/>
      <w14:ligatures w14:val="none"/>
    </w:rPr>
  </w:style>
  <w:style w:type="character" w:customStyle="1" w:styleId="20">
    <w:name w:val="Заголовок 2 Знак"/>
    <w:aliases w:val="2 Знак Знак,22 Знак Знак,A Знак Знак,A.B.C. Знак Знак,CHS Знак Знак,Gliederung2 Знак Знак,H Знак Знак,H2 Знак1 Знак,H2 Знак Знак Знак,H2-Heading 2 Знак Знак,H21 Знак Знак,H22 Знак Знак,HD2 Знак Знак,Header2 Знак Знак,Heading2 Знак Знак"/>
    <w:basedOn w:val="a1"/>
    <w:link w:val="2"/>
    <w:rsid w:val="00AF0A3E"/>
    <w:rPr>
      <w:rFonts w:ascii="Arial" w:eastAsia="Times New Roman" w:hAnsi="Arial" w:cs="Times New Roman"/>
      <w:b/>
      <w:bCs/>
      <w:i/>
      <w:iCs/>
      <w:kern w:val="0"/>
      <w:sz w:val="28"/>
      <w:szCs w:val="28"/>
      <w:lang w:val="ru-RU" w:eastAsia="ru-RU" w:bidi="ar-SA"/>
      <w14:ligatures w14:val="none"/>
    </w:rPr>
  </w:style>
  <w:style w:type="paragraph" w:customStyle="1" w:styleId="a">
    <w:name w:val="Пункт"/>
    <w:basedOn w:val="a0"/>
    <w:rsid w:val="00AF0A3E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styleId="a4">
    <w:name w:val="List Paragraph"/>
    <w:aliases w:val="Маркер,Подпись рисунка,ПКФ Список,Заголовок_3,Абзац списка5,Bullet List,FooterText,numbered,Paragraphe de liste1,lp1"/>
    <w:basedOn w:val="a0"/>
    <w:link w:val="a5"/>
    <w:uiPriority w:val="34"/>
    <w:qFormat/>
    <w:rsid w:val="00AF0A3E"/>
    <w:pPr>
      <w:ind w:left="720"/>
      <w:contextualSpacing/>
    </w:pPr>
  </w:style>
  <w:style w:type="character" w:customStyle="1" w:styleId="a5">
    <w:name w:val="Абзац списка Знак"/>
    <w:aliases w:val="Маркер Знак,Подпись рисунка Знак,ПКФ Список Знак,Заголовок_3 Знак,Абзац списка5 Знак,Bullet List Знак,FooterText Знак,numbered Знак,Paragraphe de liste1 Знак,lp1 Знак"/>
    <w:link w:val="a4"/>
    <w:uiPriority w:val="34"/>
    <w:locked/>
    <w:rsid w:val="00AF0A3E"/>
    <w:rPr>
      <w:rFonts w:ascii="Times New Roman" w:eastAsia="Times New Roman" w:hAnsi="Times New Roman" w:cs="Times New Roman"/>
      <w:kern w:val="0"/>
      <w:sz w:val="24"/>
      <w:szCs w:val="24"/>
      <w:lang w:val="ru-RU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ntsip.ru/kilovoltmetry/item/kvc120_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2025-09-18T04:49:00Z</dcterms:created>
  <dcterms:modified xsi:type="dcterms:W3CDTF">2025-09-18T04:51:00Z</dcterms:modified>
</cp:coreProperties>
</file>